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5D1" w:rsidRDefault="000165D1">
      <w:pPr>
        <w:rPr>
          <w:sz w:val="18"/>
        </w:rPr>
      </w:pPr>
      <w:r>
        <w:rPr>
          <w:sz w:val="18"/>
        </w:rPr>
        <w:t xml:space="preserve">Rev </w:t>
      </w:r>
      <w:r w:rsidR="00A26B4B">
        <w:rPr>
          <w:sz w:val="18"/>
        </w:rPr>
        <w:t>3/6/09</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p w:rsidR="000165D1" w:rsidRDefault="000165D1">
      <w:pPr>
        <w:rPr>
          <w:b/>
          <w:sz w:val="18"/>
        </w:rPr>
      </w:pPr>
    </w:p>
    <w:p w:rsidR="000165D1" w:rsidRPr="002E48B1" w:rsidRDefault="000165D1">
      <w:pPr>
        <w:rPr>
          <w:b/>
          <w:sz w:val="20"/>
        </w:rPr>
      </w:pPr>
      <w:r w:rsidRPr="00A95B97">
        <w:rPr>
          <w:b/>
          <w:sz w:val="20"/>
        </w:rPr>
        <w:t xml:space="preserve">PI Name: </w:t>
      </w:r>
      <w:r w:rsidRPr="00A95B97">
        <w:rPr>
          <w:sz w:val="20"/>
        </w:rPr>
        <w:t xml:space="preserve"> </w:t>
      </w:r>
      <w:r w:rsidR="002E48B1">
        <w:rPr>
          <w:sz w:val="20"/>
        </w:rPr>
        <w:t xml:space="preserve"> </w:t>
      </w:r>
      <w:r w:rsidR="002E48B1" w:rsidRPr="002E48B1">
        <w:rPr>
          <w:b/>
          <w:sz w:val="20"/>
        </w:rPr>
        <w:t>Eric Anderssen</w:t>
      </w:r>
    </w:p>
    <w:p w:rsidR="000165D1" w:rsidRPr="00341F09" w:rsidRDefault="000165D1">
      <w:pPr>
        <w:rPr>
          <w:b/>
          <w:sz w:val="20"/>
          <w:u w:val="single"/>
        </w:rPr>
      </w:pPr>
      <w:r w:rsidRPr="00A95B97">
        <w:rPr>
          <w:b/>
          <w:sz w:val="20"/>
        </w:rPr>
        <w:t>Proposal</w:t>
      </w:r>
      <w:r>
        <w:rPr>
          <w:b/>
          <w:sz w:val="20"/>
        </w:rPr>
        <w:t xml:space="preserve"> Number: </w:t>
      </w:r>
      <w:r w:rsidR="002E48B1">
        <w:rPr>
          <w:b/>
          <w:sz w:val="20"/>
        </w:rPr>
        <w:t xml:space="preserve"> </w:t>
      </w:r>
    </w:p>
    <w:p w:rsidR="000165D1" w:rsidRPr="00A95B97" w:rsidRDefault="000165D1">
      <w:pPr>
        <w:rPr>
          <w:sz w:val="20"/>
        </w:rPr>
      </w:pPr>
      <w:r>
        <w:rPr>
          <w:b/>
          <w:sz w:val="20"/>
        </w:rPr>
        <w:t>Award</w:t>
      </w:r>
      <w:r w:rsidRPr="00A95B97">
        <w:rPr>
          <w:b/>
          <w:sz w:val="20"/>
        </w:rPr>
        <w:t xml:space="preserve"> Number</w:t>
      </w:r>
      <w:r>
        <w:rPr>
          <w:b/>
          <w:sz w:val="20"/>
        </w:rPr>
        <w:t xml:space="preserve"> (if applicable)</w:t>
      </w:r>
      <w:r w:rsidRPr="00A95B97">
        <w:rPr>
          <w:b/>
          <w:sz w:val="20"/>
        </w:rPr>
        <w:t xml:space="preserve">: </w:t>
      </w:r>
    </w:p>
    <w:p w:rsidR="000165D1" w:rsidRPr="008738A9" w:rsidRDefault="000165D1">
      <w:pPr>
        <w:rPr>
          <w:b/>
          <w:sz w:val="20"/>
          <w:u w:val="single"/>
        </w:rPr>
      </w:pPr>
      <w:r>
        <w:rPr>
          <w:b/>
          <w:sz w:val="20"/>
        </w:rPr>
        <w:t xml:space="preserve">Sponsor Name:  </w:t>
      </w:r>
      <w:r w:rsidR="002E48B1">
        <w:rPr>
          <w:b/>
          <w:sz w:val="20"/>
        </w:rPr>
        <w:t xml:space="preserve"> Brookhaven National Laboratory</w:t>
      </w:r>
    </w:p>
    <w:p w:rsidR="000165D1" w:rsidRPr="002E48B1" w:rsidRDefault="000165D1">
      <w:pPr>
        <w:rPr>
          <w:b/>
          <w:sz w:val="20"/>
          <w:u w:val="single"/>
        </w:rPr>
      </w:pPr>
      <w:r w:rsidRPr="00A95B97">
        <w:rPr>
          <w:b/>
          <w:sz w:val="20"/>
        </w:rPr>
        <w:t xml:space="preserve">Date: </w:t>
      </w:r>
      <w:r w:rsidRPr="00A95B97">
        <w:rPr>
          <w:sz w:val="20"/>
        </w:rPr>
        <w:t xml:space="preserve"> </w:t>
      </w:r>
      <w:r w:rsidR="00A26B4B">
        <w:rPr>
          <w:b/>
          <w:sz w:val="20"/>
        </w:rPr>
        <w:t>3/6/09</w:t>
      </w:r>
    </w:p>
    <w:p w:rsidR="000165D1" w:rsidRPr="00A95B97" w:rsidRDefault="000165D1">
      <w:pPr>
        <w:rPr>
          <w:sz w:val="20"/>
        </w:rPr>
      </w:pPr>
    </w:p>
    <w:p w:rsidR="000165D1" w:rsidRDefault="000165D1">
      <w:pPr>
        <w:jc w:val="center"/>
        <w:rPr>
          <w:b/>
        </w:rPr>
      </w:pPr>
      <w:r>
        <w:rPr>
          <w:b/>
        </w:rPr>
        <w:t>APPENDIX A</w:t>
      </w:r>
    </w:p>
    <w:p w:rsidR="000165D1" w:rsidRDefault="000165D1">
      <w:pPr>
        <w:jc w:val="center"/>
        <w:rPr>
          <w:b/>
        </w:rPr>
      </w:pPr>
      <w:r>
        <w:rPr>
          <w:b/>
        </w:rPr>
        <w:t>STATEMENT OF WORK</w:t>
      </w:r>
    </w:p>
    <w:p w:rsidR="000165D1" w:rsidRDefault="000165D1">
      <w:pPr>
        <w:jc w:val="center"/>
        <w:rPr>
          <w:b/>
        </w:rPr>
      </w:pPr>
      <w:r>
        <w:rPr>
          <w:b/>
        </w:rPr>
        <w:t>Period of Performance:</w:t>
      </w:r>
    </w:p>
    <w:p w:rsidR="002E48B1" w:rsidRDefault="002E48B1">
      <w:pPr>
        <w:jc w:val="center"/>
        <w:rPr>
          <w:b/>
        </w:rPr>
      </w:pPr>
      <w:r>
        <w:rPr>
          <w:b/>
        </w:rPr>
        <w:t>May 1, 2008 to September 30, 2009</w:t>
      </w:r>
    </w:p>
    <w:p w:rsidR="000165D1" w:rsidRDefault="000165D1">
      <w:pPr>
        <w:jc w:val="center"/>
      </w:pPr>
    </w:p>
    <w:p w:rsidR="000165D1" w:rsidRDefault="000165D1"/>
    <w:p w:rsidR="000165D1" w:rsidRDefault="000165D1">
      <w:pPr>
        <w:jc w:val="both"/>
      </w:pPr>
      <w:r>
        <w:rPr>
          <w:b/>
          <w:sz w:val="20"/>
        </w:rPr>
        <w:t>Background</w:t>
      </w:r>
      <w:r>
        <w:t xml:space="preserve"> – </w:t>
      </w:r>
      <w:r w:rsidR="00602262">
        <w:rPr>
          <w:sz w:val="18"/>
        </w:rPr>
        <w:t>This is a continuation of the PHENXI Pixel Stave project—additional funds for iterations not included in the original estimate.</w:t>
      </w:r>
    </w:p>
    <w:p w:rsidR="000165D1" w:rsidRDefault="000165D1"/>
    <w:p w:rsidR="000165D1" w:rsidRPr="00602262" w:rsidRDefault="000165D1" w:rsidP="00602262">
      <w:pPr>
        <w:pStyle w:val="BodyTextIndent"/>
        <w:ind w:left="0"/>
        <w:rPr>
          <w:sz w:val="24"/>
        </w:rPr>
      </w:pPr>
      <w:r>
        <w:rPr>
          <w:b/>
          <w:sz w:val="20"/>
        </w:rPr>
        <w:t>Scope</w:t>
      </w:r>
      <w:r>
        <w:t xml:space="preserve"> – </w:t>
      </w:r>
      <w:r w:rsidR="002E48B1">
        <w:t xml:space="preserve"> </w:t>
      </w:r>
      <w:r w:rsidR="00602262">
        <w:rPr>
          <w:sz w:val="18"/>
          <w:szCs w:val="18"/>
        </w:rPr>
        <w:t>Completion of 40 production quality Staves for PHENIX Pixel System</w:t>
      </w:r>
    </w:p>
    <w:p w:rsidR="002E48B1" w:rsidRDefault="000165D1" w:rsidP="00557803">
      <w:pPr>
        <w:ind w:right="-900"/>
        <w:rPr>
          <w:sz w:val="18"/>
          <w:szCs w:val="18"/>
        </w:rPr>
      </w:pPr>
      <w:r>
        <w:rPr>
          <w:b/>
          <w:sz w:val="20"/>
        </w:rPr>
        <w:t>Technical Tasks</w:t>
      </w:r>
      <w:r>
        <w:t xml:space="preserve"> </w:t>
      </w:r>
      <w:r w:rsidRPr="002E48B1">
        <w:rPr>
          <w:sz w:val="18"/>
          <w:szCs w:val="18"/>
        </w:rPr>
        <w:t>–</w:t>
      </w:r>
      <w:r w:rsidR="002E48B1" w:rsidRPr="002E48B1">
        <w:rPr>
          <w:sz w:val="18"/>
          <w:szCs w:val="18"/>
        </w:rPr>
        <w:t xml:space="preserve">  </w:t>
      </w:r>
      <w:r w:rsidR="00557803">
        <w:rPr>
          <w:sz w:val="18"/>
          <w:szCs w:val="18"/>
        </w:rPr>
        <w:t xml:space="preserve">.  </w:t>
      </w:r>
    </w:p>
    <w:p w:rsidR="00557803" w:rsidRDefault="00557803" w:rsidP="00557803">
      <w:pPr>
        <w:ind w:right="-900"/>
        <w:rPr>
          <w:sz w:val="18"/>
          <w:szCs w:val="18"/>
        </w:rPr>
      </w:pPr>
    </w:p>
    <w:p w:rsidR="00557803" w:rsidRPr="002E48B1" w:rsidRDefault="00557803" w:rsidP="00557803">
      <w:pPr>
        <w:ind w:right="-900"/>
        <w:rPr>
          <w:sz w:val="18"/>
          <w:szCs w:val="18"/>
        </w:rPr>
      </w:pPr>
      <w:r>
        <w:rPr>
          <w:sz w:val="18"/>
          <w:szCs w:val="18"/>
        </w:rPr>
        <w:t xml:space="preserve">Iteration of the Omega Tooling was required beyond the original estimate (and test production of a statistically significant sample of pre-production Omegas) to adjust the tooling to produce Omegas with sufficient flatness.  </w:t>
      </w:r>
      <w:r w:rsidR="000E18BE">
        <w:rPr>
          <w:sz w:val="18"/>
          <w:szCs w:val="18"/>
        </w:rPr>
        <w:t>Original Stainless Steel tool failed during machining (excessive bow and twist), re-started with Aluminum tooling which was later machined with a counter bow to compensate for inherent bow of Omega Laminate.</w:t>
      </w:r>
    </w:p>
    <w:p w:rsidR="002E48B1" w:rsidRPr="002E48B1" w:rsidRDefault="002E48B1" w:rsidP="002E48B1">
      <w:pPr>
        <w:ind w:left="-720" w:right="-900" w:firstLine="450"/>
        <w:rPr>
          <w:sz w:val="18"/>
          <w:szCs w:val="18"/>
        </w:rPr>
      </w:pPr>
    </w:p>
    <w:p w:rsidR="002E48B1" w:rsidRDefault="000E18BE" w:rsidP="002E48B1">
      <w:pPr>
        <w:rPr>
          <w:sz w:val="18"/>
          <w:szCs w:val="18"/>
        </w:rPr>
      </w:pPr>
      <w:r>
        <w:rPr>
          <w:sz w:val="18"/>
          <w:szCs w:val="18"/>
        </w:rPr>
        <w:t>First 5 pre-production Stave assemblies were not of compliant with production due to use of Barb Fittings of non-rad-hard material.   They were produced to verify the assembly tooling and give RIKEN geometric samples to test on their module mount tooling.  After the initial test at RIKEN it was thought that the mount blocks on the pre-production stave were shifted by ~1mm.  An additional set of 5 blocks were fabricated (and material re-purchased for the then larger block) and an initial stave produced with these new blocks.  After further testing at RIKEN with the new block it was determined that the original blocks were correct—a shift of the modules during the initial testing was the source of the perceived error.  The original production of blocks was re-started.</w:t>
      </w:r>
    </w:p>
    <w:p w:rsidR="000E18BE" w:rsidRDefault="000E18BE" w:rsidP="002E48B1">
      <w:pPr>
        <w:rPr>
          <w:sz w:val="18"/>
          <w:szCs w:val="18"/>
        </w:rPr>
      </w:pPr>
    </w:p>
    <w:p w:rsidR="000E18BE" w:rsidRPr="002E48B1" w:rsidRDefault="000E18BE" w:rsidP="002E48B1">
      <w:pPr>
        <w:rPr>
          <w:b/>
          <w:sz w:val="18"/>
          <w:szCs w:val="18"/>
        </w:rPr>
      </w:pPr>
      <w:r>
        <w:rPr>
          <w:sz w:val="18"/>
          <w:szCs w:val="18"/>
        </w:rPr>
        <w:t>None of the above iterations were included in the original estimate.  Funding to cover this additional work and to complete the production of 40 good staves is required.  Estimate to Complete includes 44 staves (was 42 as of mid-February).  First production stave sent to RIKEN was lost due to a problem with the Module glue operation, necessitating an additional stave.  The now 3 extra staves in the ETC are intended to cover any additional failures and any yield in the production of the final 40 staves.</w:t>
      </w:r>
    </w:p>
    <w:p w:rsidR="002E48B1" w:rsidRDefault="002E48B1">
      <w:pPr>
        <w:jc w:val="both"/>
      </w:pPr>
    </w:p>
    <w:p w:rsidR="002E48B1" w:rsidRDefault="002E48B1">
      <w:pPr>
        <w:jc w:val="both"/>
      </w:pPr>
    </w:p>
    <w:p w:rsidR="000165D1" w:rsidRPr="002E48B1" w:rsidRDefault="000165D1">
      <w:pPr>
        <w:jc w:val="both"/>
        <w:rPr>
          <w:highlight w:val="yellow"/>
        </w:rPr>
      </w:pPr>
    </w:p>
    <w:p w:rsidR="000165D1" w:rsidRPr="0011702D" w:rsidRDefault="000165D1">
      <w:pPr>
        <w:pStyle w:val="BodyText"/>
        <w:jc w:val="both"/>
        <w:rPr>
          <w:sz w:val="20"/>
        </w:rPr>
      </w:pPr>
      <w:r w:rsidRPr="0011702D">
        <w:rPr>
          <w:sz w:val="20"/>
        </w:rPr>
        <w:t>Example</w:t>
      </w:r>
    </w:p>
    <w:p w:rsidR="000165D1" w:rsidRPr="0011702D" w:rsidRDefault="000165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5670"/>
        <w:gridCol w:w="990"/>
        <w:gridCol w:w="1998"/>
      </w:tblGrid>
      <w:tr w:rsidR="000165D1" w:rsidRPr="0011702D">
        <w:tc>
          <w:tcPr>
            <w:tcW w:w="918" w:type="dxa"/>
          </w:tcPr>
          <w:p w:rsidR="000165D1" w:rsidRPr="0011702D" w:rsidRDefault="000165D1">
            <w:pPr>
              <w:rPr>
                <w:b/>
              </w:rPr>
            </w:pPr>
            <w:r w:rsidRPr="0011702D">
              <w:rPr>
                <w:b/>
              </w:rPr>
              <w:t>Task #</w:t>
            </w:r>
          </w:p>
        </w:tc>
        <w:tc>
          <w:tcPr>
            <w:tcW w:w="5670" w:type="dxa"/>
          </w:tcPr>
          <w:p w:rsidR="000165D1" w:rsidRPr="0011702D" w:rsidRDefault="000165D1">
            <w:pPr>
              <w:rPr>
                <w:b/>
              </w:rPr>
            </w:pPr>
            <w:r w:rsidRPr="0011702D">
              <w:rPr>
                <w:b/>
              </w:rPr>
              <w:t>Description</w:t>
            </w:r>
          </w:p>
        </w:tc>
        <w:tc>
          <w:tcPr>
            <w:tcW w:w="990" w:type="dxa"/>
          </w:tcPr>
          <w:p w:rsidR="000165D1" w:rsidRPr="0011702D" w:rsidRDefault="000165D1">
            <w:pPr>
              <w:rPr>
                <w:b/>
              </w:rPr>
            </w:pPr>
            <w:r w:rsidRPr="0011702D">
              <w:rPr>
                <w:b/>
              </w:rPr>
              <w:t>Start</w:t>
            </w:r>
          </w:p>
          <w:p w:rsidR="000165D1" w:rsidRPr="0011702D" w:rsidRDefault="000165D1">
            <w:pPr>
              <w:rPr>
                <w:b/>
              </w:rPr>
            </w:pPr>
            <w:r w:rsidRPr="0011702D">
              <w:rPr>
                <w:b/>
              </w:rPr>
              <w:t>Month</w:t>
            </w:r>
          </w:p>
        </w:tc>
        <w:tc>
          <w:tcPr>
            <w:tcW w:w="1998" w:type="dxa"/>
          </w:tcPr>
          <w:p w:rsidR="000165D1" w:rsidRPr="0011702D" w:rsidRDefault="000165D1">
            <w:pPr>
              <w:rPr>
                <w:b/>
              </w:rPr>
            </w:pPr>
            <w:r w:rsidRPr="0011702D">
              <w:rPr>
                <w:b/>
              </w:rPr>
              <w:t>Duration</w:t>
            </w:r>
          </w:p>
        </w:tc>
      </w:tr>
      <w:tr w:rsidR="000165D1" w:rsidRPr="0011702D">
        <w:tc>
          <w:tcPr>
            <w:tcW w:w="918" w:type="dxa"/>
          </w:tcPr>
          <w:p w:rsidR="000165D1" w:rsidRPr="0011702D" w:rsidRDefault="000165D1">
            <w:r w:rsidRPr="0011702D">
              <w:t>1</w:t>
            </w:r>
          </w:p>
        </w:tc>
        <w:tc>
          <w:tcPr>
            <w:tcW w:w="5670" w:type="dxa"/>
          </w:tcPr>
          <w:p w:rsidR="000165D1" w:rsidRPr="0011702D" w:rsidRDefault="000E18BE">
            <w:r>
              <w:t>Assembly start of up to 44 staves</w:t>
            </w:r>
          </w:p>
        </w:tc>
        <w:tc>
          <w:tcPr>
            <w:tcW w:w="990" w:type="dxa"/>
          </w:tcPr>
          <w:p w:rsidR="000165D1" w:rsidRPr="0011702D" w:rsidRDefault="000165D1">
            <w:r w:rsidRPr="0011702D">
              <w:t>1</w:t>
            </w:r>
          </w:p>
        </w:tc>
        <w:tc>
          <w:tcPr>
            <w:tcW w:w="1998" w:type="dxa"/>
          </w:tcPr>
          <w:p w:rsidR="000165D1" w:rsidRPr="0011702D" w:rsidRDefault="000E18BE">
            <w:r>
              <w:t>3</w:t>
            </w:r>
            <w:r w:rsidR="000165D1" w:rsidRPr="0011702D">
              <w:t xml:space="preserve"> months</w:t>
            </w:r>
          </w:p>
        </w:tc>
      </w:tr>
      <w:tr w:rsidR="000165D1" w:rsidRPr="0011702D">
        <w:tc>
          <w:tcPr>
            <w:tcW w:w="918" w:type="dxa"/>
          </w:tcPr>
          <w:p w:rsidR="000165D1" w:rsidRPr="0011702D" w:rsidRDefault="000165D1">
            <w:r w:rsidRPr="0011702D">
              <w:t>2</w:t>
            </w:r>
          </w:p>
        </w:tc>
        <w:tc>
          <w:tcPr>
            <w:tcW w:w="5670" w:type="dxa"/>
          </w:tcPr>
          <w:p w:rsidR="000165D1" w:rsidRPr="0011702D" w:rsidRDefault="00602262">
            <w:r>
              <w:t>Final QA (Pressure/Leak and Geometry) of 40 Staves</w:t>
            </w:r>
          </w:p>
        </w:tc>
        <w:tc>
          <w:tcPr>
            <w:tcW w:w="990" w:type="dxa"/>
          </w:tcPr>
          <w:p w:rsidR="000165D1" w:rsidRPr="0011702D" w:rsidRDefault="002E48B1">
            <w:r w:rsidRPr="0011702D">
              <w:t>1</w:t>
            </w:r>
          </w:p>
        </w:tc>
        <w:tc>
          <w:tcPr>
            <w:tcW w:w="1998" w:type="dxa"/>
          </w:tcPr>
          <w:p w:rsidR="000165D1" w:rsidRPr="0011702D" w:rsidRDefault="00602262">
            <w:r>
              <w:t>4</w:t>
            </w:r>
            <w:r w:rsidR="000165D1" w:rsidRPr="0011702D">
              <w:t xml:space="preserve"> month</w:t>
            </w:r>
            <w:r>
              <w:t>s</w:t>
            </w:r>
          </w:p>
        </w:tc>
      </w:tr>
      <w:tr w:rsidR="00602262" w:rsidRPr="0011702D">
        <w:tc>
          <w:tcPr>
            <w:tcW w:w="918" w:type="dxa"/>
          </w:tcPr>
          <w:p w:rsidR="00602262" w:rsidRPr="0011702D" w:rsidRDefault="00602262">
            <w:r>
              <w:t>3</w:t>
            </w:r>
          </w:p>
        </w:tc>
        <w:tc>
          <w:tcPr>
            <w:tcW w:w="5670" w:type="dxa"/>
          </w:tcPr>
          <w:p w:rsidR="00602262" w:rsidRDefault="00602262">
            <w:r>
              <w:t>Shipment of 4 batches of completed staves to RIKEN</w:t>
            </w:r>
          </w:p>
        </w:tc>
        <w:tc>
          <w:tcPr>
            <w:tcW w:w="990" w:type="dxa"/>
          </w:tcPr>
          <w:p w:rsidR="00602262" w:rsidRPr="0011702D" w:rsidRDefault="00602262">
            <w:r>
              <w:t>1</w:t>
            </w:r>
          </w:p>
        </w:tc>
        <w:tc>
          <w:tcPr>
            <w:tcW w:w="1998" w:type="dxa"/>
          </w:tcPr>
          <w:p w:rsidR="00602262" w:rsidRPr="0011702D" w:rsidRDefault="00602262">
            <w:r>
              <w:t>4 months</w:t>
            </w:r>
          </w:p>
        </w:tc>
      </w:tr>
    </w:tbl>
    <w:p w:rsidR="000165D1" w:rsidRDefault="000165D1"/>
    <w:p w:rsidR="002E48B1" w:rsidRPr="00602262" w:rsidRDefault="000165D1" w:rsidP="00602262">
      <w:pPr>
        <w:pStyle w:val="BodyTextIndent"/>
        <w:ind w:left="0"/>
        <w:jc w:val="both"/>
        <w:rPr>
          <w:bCs/>
          <w:sz w:val="24"/>
        </w:rPr>
      </w:pPr>
      <w:r>
        <w:rPr>
          <w:b/>
          <w:sz w:val="20"/>
        </w:rPr>
        <w:t>Reports, Data, and Other Deliverables</w:t>
      </w:r>
      <w:r>
        <w:t xml:space="preserve"> – </w:t>
      </w:r>
      <w:r w:rsidR="002E48B1" w:rsidRPr="002E48B1">
        <w:rPr>
          <w:bCs/>
          <w:sz w:val="18"/>
          <w:szCs w:val="18"/>
        </w:rPr>
        <w:t>40 serialized Stave Assemblies with associated geometric data and Helium leak rates; production tooling for same</w:t>
      </w:r>
      <w:r w:rsidR="002E48B1">
        <w:rPr>
          <w:bCs/>
          <w:sz w:val="24"/>
        </w:rPr>
        <w:t>.</w:t>
      </w:r>
    </w:p>
    <w:p w:rsidR="002E48B1" w:rsidRPr="002E48B1" w:rsidRDefault="002E48B1" w:rsidP="002E48B1">
      <w:pPr>
        <w:ind w:right="-900"/>
        <w:rPr>
          <w:color w:val="000000"/>
          <w:sz w:val="18"/>
          <w:szCs w:val="18"/>
        </w:rPr>
      </w:pPr>
      <w:r w:rsidRPr="002E48B1">
        <w:rPr>
          <w:color w:val="000000"/>
          <w:sz w:val="18"/>
          <w:szCs w:val="18"/>
        </w:rPr>
        <w:t>.</w:t>
      </w:r>
    </w:p>
    <w:p w:rsidR="000165D1" w:rsidRDefault="002E48B1" w:rsidP="002E48B1">
      <w:pPr>
        <w:jc w:val="both"/>
      </w:pPr>
      <w:r>
        <w:t xml:space="preserve"> </w:t>
      </w:r>
    </w:p>
    <w:p w:rsidR="000165D1" w:rsidRDefault="000165D1"/>
    <w:p w:rsidR="000165D1" w:rsidRDefault="000165D1"/>
    <w:sectPr w:rsidR="000165D1" w:rsidSect="00815243">
      <w:foot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CE3" w:rsidRDefault="00B36CE3">
      <w:r>
        <w:separator/>
      </w:r>
    </w:p>
  </w:endnote>
  <w:endnote w:type="continuationSeparator" w:id="1">
    <w:p w:rsidR="00B36CE3" w:rsidRDefault="00B36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5D1" w:rsidRDefault="000165D1">
    <w:pPr>
      <w:pStyle w:val="Footer"/>
      <w:tabs>
        <w:tab w:val="clear" w:pos="8640"/>
        <w:tab w:val="right" w:pos="9180"/>
      </w:tabs>
    </w:pPr>
    <w:r>
      <w:t>Proposal #</w:t>
    </w:r>
    <w:r>
      <w:tab/>
    </w:r>
    <w:r w:rsidR="00815243">
      <w:rPr>
        <w:rStyle w:val="PageNumber"/>
      </w:rPr>
      <w:fldChar w:fldCharType="begin"/>
    </w:r>
    <w:r w:rsidR="0011702D">
      <w:rPr>
        <w:rStyle w:val="PageNumber"/>
      </w:rPr>
      <w:instrText xml:space="preserve"> PAGE </w:instrText>
    </w:r>
    <w:r w:rsidR="00815243">
      <w:rPr>
        <w:rStyle w:val="PageNumber"/>
      </w:rPr>
      <w:fldChar w:fldCharType="separate"/>
    </w:r>
    <w:r w:rsidR="00602262">
      <w:rPr>
        <w:rStyle w:val="PageNumber"/>
        <w:noProof/>
      </w:rPr>
      <w:t>1</w:t>
    </w:r>
    <w:r w:rsidR="00815243">
      <w:rPr>
        <w:rStyle w:val="PageNumber"/>
      </w:rPr>
      <w:fldChar w:fldCharType="end"/>
    </w:r>
    <w:r>
      <w:rPr>
        <w:rStyle w:val="PageNumber"/>
      </w:rPr>
      <w:tab/>
    </w:r>
    <w:r w:rsidR="00815243">
      <w:rPr>
        <w:rStyle w:val="PageNumber"/>
      </w:rPr>
      <w:fldChar w:fldCharType="begin"/>
    </w:r>
    <w:r>
      <w:rPr>
        <w:rStyle w:val="PageNumber"/>
      </w:rPr>
      <w:instrText xml:space="preserve"> DATE \@ "M/d/yyyy" </w:instrText>
    </w:r>
    <w:r w:rsidR="00815243">
      <w:rPr>
        <w:rStyle w:val="PageNumber"/>
      </w:rPr>
      <w:fldChar w:fldCharType="separate"/>
    </w:r>
    <w:r w:rsidR="00557803">
      <w:rPr>
        <w:rStyle w:val="PageNumber"/>
        <w:noProof/>
      </w:rPr>
      <w:t>3/7/2009</w:t>
    </w:r>
    <w:r w:rsidR="00815243">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CE3" w:rsidRDefault="00B36CE3">
      <w:r>
        <w:separator/>
      </w:r>
    </w:p>
  </w:footnote>
  <w:footnote w:type="continuationSeparator" w:id="1">
    <w:p w:rsidR="00B36CE3" w:rsidRDefault="00B36C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B68BF"/>
    <w:rsid w:val="000165D1"/>
    <w:rsid w:val="00022847"/>
    <w:rsid w:val="000E18BE"/>
    <w:rsid w:val="0011702D"/>
    <w:rsid w:val="002E48B1"/>
    <w:rsid w:val="00306D53"/>
    <w:rsid w:val="003F0AF8"/>
    <w:rsid w:val="004B6A5C"/>
    <w:rsid w:val="00557803"/>
    <w:rsid w:val="005A227D"/>
    <w:rsid w:val="00602262"/>
    <w:rsid w:val="00815243"/>
    <w:rsid w:val="0088104C"/>
    <w:rsid w:val="008B68BF"/>
    <w:rsid w:val="00A26B4B"/>
    <w:rsid w:val="00A874E7"/>
    <w:rsid w:val="00AE3A1B"/>
    <w:rsid w:val="00B36CE3"/>
    <w:rsid w:val="00B61487"/>
    <w:rsid w:val="00BB0102"/>
    <w:rsid w:val="00BC0830"/>
    <w:rsid w:val="00DD60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243"/>
    <w:rPr>
      <w:rFonts w:ascii="Arial" w:hAnsi="Arial"/>
      <w:sz w:val="22"/>
    </w:rPr>
  </w:style>
  <w:style w:type="paragraph" w:styleId="Heading1">
    <w:name w:val="heading 1"/>
    <w:basedOn w:val="Normal"/>
    <w:next w:val="Normal"/>
    <w:qFormat/>
    <w:rsid w:val="0081524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5243"/>
    <w:rPr>
      <w:b/>
    </w:rPr>
  </w:style>
  <w:style w:type="paragraph" w:styleId="Header">
    <w:name w:val="header"/>
    <w:basedOn w:val="Normal"/>
    <w:rsid w:val="00815243"/>
    <w:pPr>
      <w:tabs>
        <w:tab w:val="center" w:pos="4320"/>
        <w:tab w:val="right" w:pos="8640"/>
      </w:tabs>
    </w:pPr>
  </w:style>
  <w:style w:type="paragraph" w:styleId="Footer">
    <w:name w:val="footer"/>
    <w:basedOn w:val="Normal"/>
    <w:rsid w:val="00815243"/>
    <w:pPr>
      <w:tabs>
        <w:tab w:val="center" w:pos="4320"/>
        <w:tab w:val="right" w:pos="8640"/>
      </w:tabs>
    </w:pPr>
  </w:style>
  <w:style w:type="character" w:styleId="PageNumber">
    <w:name w:val="page number"/>
    <w:basedOn w:val="DefaultParagraphFont"/>
    <w:rsid w:val="00815243"/>
  </w:style>
  <w:style w:type="paragraph" w:styleId="BodyTextIndent">
    <w:name w:val="Body Text Indent"/>
    <w:basedOn w:val="Normal"/>
    <w:rsid w:val="002E48B1"/>
    <w:pPr>
      <w:spacing w:after="120"/>
      <w:ind w:left="360"/>
    </w:pPr>
  </w:style>
  <w:style w:type="paragraph" w:styleId="BalloonText">
    <w:name w:val="Balloon Text"/>
    <w:basedOn w:val="Normal"/>
    <w:semiHidden/>
    <w:rsid w:val="00B614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APPENDIX A</vt:lpstr>
    </vt:vector>
  </TitlesOfParts>
  <Company>LBL</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PC User</dc:creator>
  <cp:lastModifiedBy>ECAnderssen_local</cp:lastModifiedBy>
  <cp:revision>5</cp:revision>
  <cp:lastPrinted>2008-04-17T10:06:00Z</cp:lastPrinted>
  <dcterms:created xsi:type="dcterms:W3CDTF">2009-03-06T16:26:00Z</dcterms:created>
  <dcterms:modified xsi:type="dcterms:W3CDTF">2009-03-07T10:40:00Z</dcterms:modified>
</cp:coreProperties>
</file>